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9DCFE" w14:textId="77777777" w:rsidR="001566F9" w:rsidRPr="00D207EB" w:rsidRDefault="003152A8" w:rsidP="00D207EB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460C7A">
        <w:rPr>
          <w:rFonts w:ascii="Times New Roman" w:hAnsi="Times New Roman" w:cs="Times New Roman"/>
          <w:b/>
          <w:i/>
          <w:sz w:val="22"/>
          <w:szCs w:val="22"/>
        </w:rPr>
        <w:t>1</w:t>
      </w:r>
      <w:r w:rsidR="005E260E">
        <w:rPr>
          <w:rFonts w:ascii="Times New Roman" w:hAnsi="Times New Roman" w:cs="Times New Roman"/>
          <w:b/>
          <w:i/>
          <w:sz w:val="22"/>
          <w:szCs w:val="22"/>
        </w:rPr>
        <w:t>2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ом требований в области антитеррористической безопасности</w:t>
      </w:r>
    </w:p>
    <w:p w14:paraId="63007B9A" w14:textId="77777777" w:rsidR="0024115E" w:rsidRPr="008A34C0" w:rsidRDefault="0024115E" w:rsidP="0024115E">
      <w:pPr>
        <w:pStyle w:val="ac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 xml:space="preserve">Обществом с ограниченной ответственностью «Байкальская </w:t>
      </w:r>
      <w:r>
        <w:rPr>
          <w:b/>
          <w:sz w:val="22"/>
          <w:szCs w:val="22"/>
        </w:rPr>
        <w:t>Э</w:t>
      </w:r>
      <w:r w:rsidRPr="008A34C0">
        <w:rPr>
          <w:b/>
          <w:sz w:val="22"/>
          <w:szCs w:val="22"/>
        </w:rPr>
        <w:t>нергетическая компания-ремонт» (ООО «</w:t>
      </w:r>
      <w:proofErr w:type="spellStart"/>
      <w:r w:rsidRPr="008A34C0">
        <w:rPr>
          <w:b/>
          <w:sz w:val="22"/>
          <w:szCs w:val="22"/>
        </w:rPr>
        <w:t>БЭК-ремонт</w:t>
      </w:r>
      <w:proofErr w:type="spellEnd"/>
      <w:r w:rsidRPr="008A34C0">
        <w:rPr>
          <w:b/>
          <w:sz w:val="22"/>
          <w:szCs w:val="22"/>
        </w:rPr>
        <w:t>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Pr="007D6352">
        <w:rPr>
          <w:b/>
          <w:bCs/>
          <w:sz w:val="22"/>
          <w:szCs w:val="22"/>
        </w:rPr>
        <w:t xml:space="preserve">Директора по производству – главного инженера </w:t>
      </w:r>
      <w:proofErr w:type="spellStart"/>
      <w:r w:rsidRPr="007D6352">
        <w:rPr>
          <w:b/>
          <w:bCs/>
          <w:sz w:val="22"/>
          <w:szCs w:val="22"/>
        </w:rPr>
        <w:t>Галянта</w:t>
      </w:r>
      <w:proofErr w:type="spellEnd"/>
      <w:r w:rsidRPr="007D6352">
        <w:rPr>
          <w:b/>
          <w:bCs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2492BF2E" w14:textId="77777777" w:rsidR="0024115E" w:rsidRPr="0060064A" w:rsidRDefault="0024115E" w:rsidP="0024115E">
      <w:pPr>
        <w:pStyle w:val="ac"/>
        <w:ind w:firstLine="709"/>
        <w:rPr>
          <w:b/>
        </w:rPr>
      </w:pPr>
      <w:r>
        <w:rPr>
          <w:b/>
          <w:bCs/>
          <w:sz w:val="23"/>
          <w:szCs w:val="23"/>
        </w:rPr>
        <w:t>____________</w:t>
      </w:r>
      <w:r w:rsidRPr="009007B8">
        <w:rPr>
          <w:b/>
          <w:bCs/>
          <w:sz w:val="23"/>
          <w:szCs w:val="23"/>
        </w:rPr>
        <w:t>»</w:t>
      </w:r>
      <w:r w:rsidRPr="009007B8">
        <w:rPr>
          <w:bCs/>
          <w:sz w:val="23"/>
          <w:szCs w:val="23"/>
        </w:rPr>
        <w:t>, именуемое в дальнейшем «</w:t>
      </w:r>
      <w:r w:rsidRPr="009007B8">
        <w:rPr>
          <w:b/>
          <w:bCs/>
          <w:sz w:val="23"/>
          <w:szCs w:val="23"/>
        </w:rPr>
        <w:t>Субподрядчик»</w:t>
      </w:r>
      <w:r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</w:t>
      </w:r>
      <w:r w:rsidRPr="009007B8">
        <w:rPr>
          <w:bCs/>
          <w:sz w:val="23"/>
          <w:szCs w:val="23"/>
        </w:rPr>
        <w:t>, действующего на основании Устава</w:t>
      </w:r>
      <w:r w:rsidRPr="006773A1">
        <w:t>, с другой стороны,</w:t>
      </w:r>
      <w:r>
        <w:rPr>
          <w:b/>
        </w:rPr>
        <w:t xml:space="preserve"> </w:t>
      </w:r>
      <w:r w:rsidRPr="006773A1">
        <w:t>заключили настоящее соглашение (далее – «</w:t>
      </w:r>
      <w:r w:rsidRPr="006773A1">
        <w:rPr>
          <w:b/>
        </w:rPr>
        <w:t>Соглашение</w:t>
      </w:r>
      <w:r w:rsidRPr="006773A1">
        <w:t xml:space="preserve">») к Договору </w:t>
      </w:r>
      <w:r>
        <w:t>суб</w:t>
      </w:r>
      <w:r w:rsidRPr="006773A1">
        <w:t xml:space="preserve">подряда </w:t>
      </w:r>
      <w:r w:rsidRPr="00C075F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FD156D">
        <w:rPr>
          <w:sz w:val="22"/>
          <w:szCs w:val="22"/>
        </w:rPr>
        <w:t>5КС-ТЭЦ-6_22-</w:t>
      </w:r>
      <w:r>
        <w:rPr>
          <w:sz w:val="22"/>
          <w:szCs w:val="22"/>
        </w:rPr>
        <w:t>ЦЦР</w:t>
      </w:r>
      <w:r w:rsidRPr="004554D8">
        <w:rPr>
          <w:i/>
          <w:sz w:val="20"/>
          <w:szCs w:val="20"/>
        </w:rPr>
        <w:t xml:space="preserve"> </w:t>
      </w:r>
      <w:r w:rsidRPr="006773A1">
        <w:rPr>
          <w:i/>
        </w:rPr>
        <w:t xml:space="preserve">от </w:t>
      </w:r>
      <w:r w:rsidRPr="006773A1">
        <w:t>«____» ______________ 202</w:t>
      </w:r>
      <w:r>
        <w:t>3</w:t>
      </w:r>
      <w:r w:rsidRPr="006773A1">
        <w:t> </w:t>
      </w:r>
      <w:r w:rsidRPr="006773A1">
        <w:rPr>
          <w:i/>
        </w:rPr>
        <w:t>г.</w:t>
      </w:r>
      <w:r w:rsidRPr="006773A1">
        <w:t xml:space="preserve"> (далее – «</w:t>
      </w:r>
      <w:r w:rsidRPr="006773A1">
        <w:rPr>
          <w:b/>
        </w:rPr>
        <w:t>Договор</w:t>
      </w:r>
      <w:r w:rsidRPr="006773A1">
        <w:t>») о нижеследующем:</w:t>
      </w:r>
    </w:p>
    <w:p w14:paraId="593BD385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2E892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F509653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</w:t>
      </w:r>
      <w:bookmarkStart w:id="4" w:name="_GoBack"/>
      <w:bookmarkEnd w:id="4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51A3E357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17555DBF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0FA1365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 его 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ами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4C6ED92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91216E">
        <w:rPr>
          <w:rFonts w:ascii="Times New Roman" w:eastAsia="Times New Roman" w:hAnsi="Times New Roman" w:cs="Times New Roman"/>
          <w:sz w:val="22"/>
          <w:szCs w:val="22"/>
        </w:rPr>
        <w:t>28.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4D8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правил в области АТБ, условий Договора,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контрольной проверки.</w:t>
      </w:r>
    </w:p>
    <w:p w14:paraId="5F4C080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2DBE88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973640B" w14:textId="77777777"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AD1E944" w14:textId="77777777" w:rsidR="00207227" w:rsidRPr="00D336A7" w:rsidRDefault="00D207EB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11EEBC6F" w14:textId="77777777"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14:paraId="0EBFA301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A6FEE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D207EB">
        <w:rPr>
          <w:b w:val="0"/>
          <w:i w:val="0"/>
          <w:color w:val="auto"/>
        </w:rPr>
        <w:t>Генподрядчик</w:t>
      </w:r>
      <w:r w:rsidRPr="00D336A7">
        <w:rPr>
          <w:b w:val="0"/>
          <w:i w:val="0"/>
          <w:color w:val="auto"/>
        </w:rPr>
        <w:t>а предоставить следующие сведения о персонале:</w:t>
      </w:r>
    </w:p>
    <w:p w14:paraId="68DD051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02188E1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D207EB">
        <w:rPr>
          <w:b w:val="0"/>
          <w:i w:val="0"/>
          <w:color w:val="auto"/>
        </w:rPr>
        <w:t>Субподрядчик</w:t>
      </w:r>
      <w:r w:rsidRPr="00D71B79">
        <w:rPr>
          <w:b w:val="0"/>
          <w:i w:val="0"/>
          <w:color w:val="auto"/>
        </w:rPr>
        <w:t>ом, разрешения на работу для иностранных граждан.</w:t>
      </w:r>
    </w:p>
    <w:p w14:paraId="030F8FDA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070E57F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51914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03FB2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69E48C8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 xml:space="preserve">а в области АТБ, работники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>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 xml:space="preserve">а и обязаны предъявлять их работникам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14:paraId="115AF301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D207EB">
        <w:rPr>
          <w:b w:val="0"/>
          <w:i w:val="0"/>
          <w:color w:val="auto"/>
        </w:rPr>
        <w:t>Субподрядчик</w:t>
      </w:r>
      <w:r w:rsidRPr="00067F1B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14:paraId="692938BD" w14:textId="77777777"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14:paraId="6D72A085" w14:textId="77777777"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у запрещается:</w:t>
      </w:r>
    </w:p>
    <w:p w14:paraId="61850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6EFC8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14:paraId="77EAFDE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D1C9F3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1E145E9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а;</w:t>
      </w:r>
    </w:p>
    <w:p w14:paraId="0E7D926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026597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E6021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работы, не согласованные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ом.</w:t>
      </w:r>
    </w:p>
    <w:p w14:paraId="18F2985A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2DCB858B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3CEFEF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717F8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1DA77405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3C1AB72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7F092F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обеспечить участие своего представителя, в случае приглашения, в совещаниях по вопросам АТБ, проводимых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1342814C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в области АТБ.</w:t>
      </w:r>
    </w:p>
    <w:p w14:paraId="7966EE3D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CCE8BC0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AD42CAE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АТБ.</w:t>
      </w:r>
    </w:p>
    <w:p w14:paraId="58C2C04A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257AFB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38FE1C9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79A828E" w14:textId="77777777" w:rsidR="001566F9" w:rsidRPr="00B23412" w:rsidRDefault="00D207EB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4D8F24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делены в Разделе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а).</w:t>
      </w:r>
    </w:p>
    <w:p w14:paraId="077B14F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17DF067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1 000 000 (одного миллиона) рублей за каждое такое нарушение.</w:t>
      </w:r>
    </w:p>
    <w:p w14:paraId="6208D84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3 000 000 (трех миллионов) рублей.</w:t>
      </w:r>
    </w:p>
    <w:p w14:paraId="085EFB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 и 7.2. Раздела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EE6556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256714D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6.10.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за каждый случай нарушения.</w:t>
      </w:r>
    </w:p>
    <w:p w14:paraId="7E96DCA2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7C9B27F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75904F9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5D20A0FE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5E260E">
        <w:rPr>
          <w:rFonts w:ascii="Times New Roman" w:eastAsia="Times New Roman" w:hAnsi="Times New Roman" w:cs="Times New Roman"/>
          <w:b/>
          <w:i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7CD16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1E9D69D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2DAFA6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5C4680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1AD7BA0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107433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6EAAEED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E9AC2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23580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9A1C01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2D5371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53BD3B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3369264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F9AB7B5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доставке.  </w:t>
      </w:r>
    </w:p>
    <w:p w14:paraId="5D86692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11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087BF0AE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D207EB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15CD06F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590538B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CE1EF5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2A7893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046D333" w14:textId="3346382B" w:rsidR="001566F9" w:rsidRPr="00923739" w:rsidRDefault="001566F9" w:rsidP="00460C7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Настоящее Соглашение составлено в </w:t>
      </w:r>
      <w:r w:rsidR="0044655F">
        <w:rPr>
          <w:rFonts w:ascii="Times New Roman" w:eastAsia="Times New Roman" w:hAnsi="Times New Roman" w:cs="Times New Roman"/>
          <w:sz w:val="22"/>
          <w:szCs w:val="22"/>
        </w:rPr>
        <w:t>2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44655F">
        <w:rPr>
          <w:rFonts w:ascii="Times New Roman" w:eastAsia="Times New Roman" w:hAnsi="Times New Roman" w:cs="Times New Roman"/>
          <w:sz w:val="22"/>
          <w:szCs w:val="22"/>
        </w:rPr>
        <w:t>двух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Сторон,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и 1 экземпляр для филиала ТЭЦ-6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ООО «Байкальская энергетическая компания» и является неотъемлемой частью Договора.</w:t>
      </w:r>
    </w:p>
    <w:p w14:paraId="2821206C" w14:textId="77777777" w:rsidR="001566F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19E5A15C" w14:textId="77777777" w:rsidR="00CC379B" w:rsidRPr="00923739" w:rsidRDefault="004647DE" w:rsidP="004647DE">
      <w:pPr>
        <w:tabs>
          <w:tab w:val="left" w:pos="78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sz w:val="22"/>
          <w:szCs w:val="22"/>
          <w:lang w:val="en-US"/>
        </w:rPr>
        <w:tab/>
      </w:r>
    </w:p>
    <w:p w14:paraId="196BFCE6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ED1B90D" w14:textId="77777777" w:rsidR="00CC379B" w:rsidRPr="00923739" w:rsidRDefault="00CC379B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9D9CCEF" w14:textId="77777777" w:rsidR="0044655F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</w: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44655F" w:rsidRPr="003107A8" w14:paraId="2DC6A791" w14:textId="77777777" w:rsidTr="00CA5DBE">
        <w:trPr>
          <w:trHeight w:val="1055"/>
        </w:trPr>
        <w:tc>
          <w:tcPr>
            <w:tcW w:w="4178" w:type="dxa"/>
          </w:tcPr>
          <w:p w14:paraId="6397D067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5222E89E" w14:textId="77777777" w:rsidR="0044655F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2042D024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 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14:paraId="3E37A748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78194374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К.С. </w:t>
            </w:r>
            <w:proofErr w:type="spellStart"/>
            <w:r>
              <w:rPr>
                <w:sz w:val="22"/>
                <w:szCs w:val="22"/>
              </w:rPr>
              <w:t>Галянт</w:t>
            </w:r>
            <w:proofErr w:type="spellEnd"/>
          </w:p>
        </w:tc>
        <w:tc>
          <w:tcPr>
            <w:tcW w:w="5387" w:type="dxa"/>
          </w:tcPr>
          <w:p w14:paraId="7C3DB239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65EB22ED" w14:textId="77777777" w:rsidR="0044655F" w:rsidRPr="0059671F" w:rsidRDefault="0044655F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  <w:r w:rsidRPr="0059671F">
              <w:rPr>
                <w:color w:val="FFFFFF" w:themeColor="background1"/>
                <w:sz w:val="22"/>
                <w:szCs w:val="22"/>
              </w:rPr>
              <w:t xml:space="preserve">ООО </w:t>
            </w:r>
            <w:proofErr w:type="gramStart"/>
            <w:r w:rsidRPr="0059671F">
              <w:rPr>
                <w:color w:val="FFFFFF" w:themeColor="background1"/>
                <w:sz w:val="22"/>
                <w:szCs w:val="22"/>
              </w:rPr>
              <w:t>ПКЦ  «</w:t>
            </w:r>
            <w:proofErr w:type="spellStart"/>
            <w:proofErr w:type="gramEnd"/>
            <w:r w:rsidRPr="0059671F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Pr="0059671F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08A7BF6F" w14:textId="77777777" w:rsidR="0044655F" w:rsidRPr="0059671F" w:rsidRDefault="0044655F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2667B6EE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73E18560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1152F">
              <w:rPr>
                <w:sz w:val="22"/>
                <w:szCs w:val="22"/>
              </w:rPr>
              <w:t>___________________</w:t>
            </w:r>
            <w:r w:rsidRPr="00D55ACC">
              <w:rPr>
                <w:sz w:val="21"/>
                <w:szCs w:val="21"/>
              </w:rPr>
              <w:t>___</w:t>
            </w:r>
            <w:r w:rsidRPr="0059671F">
              <w:rPr>
                <w:color w:val="FFFFFF" w:themeColor="background1"/>
                <w:sz w:val="22"/>
                <w:szCs w:val="22"/>
              </w:rPr>
              <w:t xml:space="preserve">В.Ю.Минин </w:t>
            </w:r>
          </w:p>
        </w:tc>
      </w:tr>
    </w:tbl>
    <w:p w14:paraId="39172A89" w14:textId="77777777" w:rsidR="0044655F" w:rsidRDefault="0044655F" w:rsidP="004465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48C7A0D6" w14:textId="77777777" w:rsidR="0044655F" w:rsidRPr="00377F99" w:rsidRDefault="0044655F" w:rsidP="004465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2EB51C16" w14:textId="1C404D15" w:rsidR="003A0BE9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578B7525" w14:textId="77777777" w:rsidR="003152A8" w:rsidRDefault="003152A8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4655F">
      <w:headerReference w:type="default" r:id="rId14"/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11ADC" w14:textId="77777777" w:rsidR="00616613" w:rsidRDefault="00616613" w:rsidP="003152A8">
      <w:pPr>
        <w:spacing w:after="0" w:line="240" w:lineRule="auto"/>
      </w:pPr>
      <w:r>
        <w:separator/>
      </w:r>
    </w:p>
  </w:endnote>
  <w:endnote w:type="continuationSeparator" w:id="0">
    <w:p w14:paraId="167C085E" w14:textId="77777777" w:rsidR="00616613" w:rsidRDefault="0061661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E7C8" w14:textId="77777777" w:rsidR="00616613" w:rsidRDefault="00616613" w:rsidP="003152A8">
      <w:pPr>
        <w:spacing w:after="0" w:line="240" w:lineRule="auto"/>
      </w:pPr>
      <w:r>
        <w:separator/>
      </w:r>
    </w:p>
  </w:footnote>
  <w:footnote w:type="continuationSeparator" w:id="0">
    <w:p w14:paraId="5A65C938" w14:textId="77777777" w:rsidR="00616613" w:rsidRDefault="00616613" w:rsidP="003152A8">
      <w:pPr>
        <w:spacing w:after="0" w:line="240" w:lineRule="auto"/>
      </w:pPr>
      <w:r>
        <w:continuationSeparator/>
      </w:r>
    </w:p>
  </w:footnote>
  <w:footnote w:id="1">
    <w:p w14:paraId="20001C7B" w14:textId="77777777" w:rsidR="001566F9" w:rsidRPr="0091216E" w:rsidRDefault="001566F9" w:rsidP="0091216E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B4BAA" w14:textId="2C71DF8E" w:rsidR="00460C7A" w:rsidRPr="00460C7A" w:rsidRDefault="00460C7A" w:rsidP="00460C7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460C7A">
      <w:rPr>
        <w:rFonts w:ascii="Times New Roman" w:eastAsia="Times New Roman" w:hAnsi="Times New Roman" w:cs="Times New Roman"/>
        <w:i/>
      </w:rPr>
      <w:t xml:space="preserve">Договор </w:t>
    </w:r>
    <w:r w:rsidR="00D207EB">
      <w:rPr>
        <w:rFonts w:ascii="Times New Roman" w:eastAsia="Times New Roman" w:hAnsi="Times New Roman" w:cs="Times New Roman"/>
        <w:i/>
      </w:rPr>
      <w:t>суб</w:t>
    </w:r>
    <w:r w:rsidRPr="00460C7A">
      <w:rPr>
        <w:rFonts w:ascii="Times New Roman" w:eastAsia="Times New Roman" w:hAnsi="Times New Roman" w:cs="Times New Roman"/>
        <w:i/>
      </w:rPr>
      <w:t xml:space="preserve">подряда </w:t>
    </w:r>
    <w:r w:rsidR="005E260E">
      <w:rPr>
        <w:rFonts w:ascii="Times New Roman" w:eastAsia="Times New Roman" w:hAnsi="Times New Roman" w:cs="Times New Roman"/>
        <w:i/>
      </w:rPr>
      <w:t>№</w:t>
    </w:r>
    <w:r w:rsidR="0044655F" w:rsidRPr="009A2DBE">
      <w:rPr>
        <w:sz w:val="22"/>
        <w:szCs w:val="22"/>
      </w:rPr>
      <w:t>5КС-ТЭЦ-6_22-</w:t>
    </w:r>
    <w:r w:rsidR="0024115E">
      <w:rPr>
        <w:sz w:val="22"/>
        <w:szCs w:val="22"/>
      </w:rPr>
      <w:t>ЦЦР</w:t>
    </w:r>
    <w:r w:rsidR="0044655F">
      <w:rPr>
        <w:sz w:val="22"/>
        <w:szCs w:val="22"/>
      </w:rPr>
      <w:t xml:space="preserve"> </w:t>
    </w:r>
    <w:r w:rsidRPr="00460C7A">
      <w:rPr>
        <w:rFonts w:ascii="Times New Roman" w:eastAsia="Times New Roman" w:hAnsi="Times New Roman" w:cs="Times New Roman"/>
        <w:i/>
      </w:rPr>
      <w:t xml:space="preserve">от </w:t>
    </w:r>
    <w:r w:rsidRPr="00460C7A">
      <w:rPr>
        <w:rFonts w:ascii="Times New Roman" w:eastAsia="Times New Roman" w:hAnsi="Times New Roman" w:cs="Times New Roman"/>
      </w:rPr>
      <w:t>«____» ______________ 202</w:t>
    </w:r>
    <w:r w:rsidR="00FA7D3B">
      <w:rPr>
        <w:rFonts w:ascii="Times New Roman" w:eastAsia="Times New Roman" w:hAnsi="Times New Roman" w:cs="Times New Roman"/>
      </w:rPr>
      <w:t>3</w:t>
    </w:r>
    <w:r w:rsidRPr="00460C7A">
      <w:rPr>
        <w:rFonts w:ascii="Times New Roman" w:eastAsia="Times New Roman" w:hAnsi="Times New Roman" w:cs="Times New Roman"/>
        <w:i/>
      </w:rPr>
      <w:t>г.</w:t>
    </w:r>
  </w:p>
  <w:p w14:paraId="37C27F57" w14:textId="77777777" w:rsidR="00460C7A" w:rsidRDefault="00460C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0A2551"/>
    <w:rsid w:val="0015581D"/>
    <w:rsid w:val="001566F9"/>
    <w:rsid w:val="001F2AA9"/>
    <w:rsid w:val="00203BD4"/>
    <w:rsid w:val="00207227"/>
    <w:rsid w:val="0024115E"/>
    <w:rsid w:val="00285F2F"/>
    <w:rsid w:val="002B7779"/>
    <w:rsid w:val="002D5FAE"/>
    <w:rsid w:val="003152A8"/>
    <w:rsid w:val="0033105E"/>
    <w:rsid w:val="00356C42"/>
    <w:rsid w:val="003A0BE9"/>
    <w:rsid w:val="00445224"/>
    <w:rsid w:val="0044655F"/>
    <w:rsid w:val="00460C7A"/>
    <w:rsid w:val="004647DE"/>
    <w:rsid w:val="00486E84"/>
    <w:rsid w:val="004B1204"/>
    <w:rsid w:val="005710C1"/>
    <w:rsid w:val="0059671F"/>
    <w:rsid w:val="005A08FC"/>
    <w:rsid w:val="005E260E"/>
    <w:rsid w:val="00616613"/>
    <w:rsid w:val="006377A9"/>
    <w:rsid w:val="00680DCE"/>
    <w:rsid w:val="00736292"/>
    <w:rsid w:val="007A6FEE"/>
    <w:rsid w:val="007C5CEE"/>
    <w:rsid w:val="00807D90"/>
    <w:rsid w:val="00867098"/>
    <w:rsid w:val="008F784F"/>
    <w:rsid w:val="0091216E"/>
    <w:rsid w:val="00967C53"/>
    <w:rsid w:val="00981937"/>
    <w:rsid w:val="009A12FC"/>
    <w:rsid w:val="009C317E"/>
    <w:rsid w:val="009F6E6B"/>
    <w:rsid w:val="00BA0A6C"/>
    <w:rsid w:val="00BB1964"/>
    <w:rsid w:val="00BB444E"/>
    <w:rsid w:val="00C36F79"/>
    <w:rsid w:val="00C44207"/>
    <w:rsid w:val="00CC379B"/>
    <w:rsid w:val="00CD47EE"/>
    <w:rsid w:val="00D0648D"/>
    <w:rsid w:val="00D207EB"/>
    <w:rsid w:val="00D336A7"/>
    <w:rsid w:val="00D37D99"/>
    <w:rsid w:val="00D77F5C"/>
    <w:rsid w:val="00DA3C9F"/>
    <w:rsid w:val="00DA75AD"/>
    <w:rsid w:val="00E7164E"/>
    <w:rsid w:val="00EB42A1"/>
    <w:rsid w:val="00F15436"/>
    <w:rsid w:val="00FA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2B6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D207E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D207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44655F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4655F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223DFBF-9375-47FC-918B-3236FA81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2316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29</cp:revision>
  <dcterms:created xsi:type="dcterms:W3CDTF">2021-09-21T07:11:00Z</dcterms:created>
  <dcterms:modified xsi:type="dcterms:W3CDTF">2023-06-20T07:44:00Z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